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  <w:gridCol w:w="4536"/>
      </w:tblGrid>
      <w:tr w:rsidR="00D74FA8">
        <w:trPr>
          <w:trHeight w:val="3974"/>
        </w:trPr>
        <w:tc>
          <w:tcPr>
            <w:tcW w:w="5031" w:type="dxa"/>
          </w:tcPr>
          <w:p w:rsidR="00D74FA8" w:rsidRDefault="0074775A">
            <w:pPr>
              <w:widowControl w:val="0"/>
              <w:jc w:val="center"/>
              <w:rPr>
                <w:color w:val="000000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532765" cy="5930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765" cy="59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4FA8" w:rsidRDefault="00D74FA8">
            <w:pPr>
              <w:widowControl w:val="0"/>
              <w:jc w:val="center"/>
              <w:rPr>
                <w:color w:val="000000"/>
              </w:rPr>
            </w:pPr>
          </w:p>
          <w:p w:rsidR="00D74FA8" w:rsidRDefault="0074775A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МИНИСТЕРСТВО ОБРАЗОВАНИЯ</w:t>
            </w:r>
          </w:p>
          <w:p w:rsidR="00D74FA8" w:rsidRDefault="00D74FA8">
            <w:pPr>
              <w:widowControl w:val="0"/>
              <w:jc w:val="center"/>
              <w:rPr>
                <w:b/>
                <w:bCs/>
                <w:color w:val="000000"/>
                <w:sz w:val="10"/>
                <w:szCs w:val="10"/>
              </w:rPr>
            </w:pPr>
          </w:p>
          <w:p w:rsidR="00D74FA8" w:rsidRDefault="0074775A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ОРЕНБУРГСКОЙ ОБЛАСТИ</w:t>
            </w:r>
          </w:p>
          <w:p w:rsidR="00D74FA8" w:rsidRDefault="0074775A">
            <w:pPr>
              <w:widowControl w:val="0"/>
              <w:jc w:val="center"/>
              <w:rPr>
                <w:b/>
                <w:bCs/>
                <w:sz w:val="36"/>
                <w:szCs w:val="36"/>
              </w:rPr>
            </w:pPr>
            <w:proofErr w:type="gramStart"/>
            <w:r>
              <w:rPr>
                <w:b/>
                <w:bCs/>
                <w:sz w:val="36"/>
                <w:szCs w:val="36"/>
              </w:rPr>
              <w:t>П</w:t>
            </w:r>
            <w:proofErr w:type="gramEnd"/>
            <w:r>
              <w:rPr>
                <w:b/>
                <w:bCs/>
                <w:sz w:val="36"/>
                <w:szCs w:val="36"/>
              </w:rPr>
              <w:t xml:space="preserve"> Р И К А З</w:t>
            </w:r>
          </w:p>
          <w:p w:rsidR="00D74FA8" w:rsidRDefault="00D74FA8">
            <w:pPr>
              <w:widowControl w:val="0"/>
              <w:jc w:val="center"/>
              <w:rPr>
                <w:b/>
                <w:bCs/>
                <w:sz w:val="36"/>
                <w:szCs w:val="36"/>
              </w:rPr>
            </w:pPr>
          </w:p>
          <w:p w:rsidR="00D74FA8" w:rsidRDefault="0074775A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noProof/>
              </w:rPr>
              <w:drawing>
                <wp:anchor distT="0" distB="0" distL="0" distR="0" simplePos="0" relativeHeight="4" behindDoc="0" locked="0" layoutInCell="0" allowOverlap="1">
                  <wp:simplePos x="0" y="0"/>
                  <wp:positionH relativeFrom="character">
                    <wp:align>left</wp:align>
                  </wp:positionH>
                  <wp:positionV relativeFrom="line">
                    <wp:posOffset>635</wp:posOffset>
                  </wp:positionV>
                  <wp:extent cx="2924175" cy="360045"/>
                  <wp:effectExtent l="0" t="0" r="0" b="0"/>
                  <wp:wrapNone/>
                  <wp:docPr id="2" name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36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</w:rPr>
              <w:t xml:space="preserve"> </w:t>
            </w:r>
          </w:p>
          <w:p w:rsidR="00D74FA8" w:rsidRDefault="00D74FA8">
            <w:pPr>
              <w:widowControl w:val="0"/>
              <w:jc w:val="center"/>
              <w:rPr>
                <w:sz w:val="28"/>
                <w:szCs w:val="28"/>
              </w:rPr>
            </w:pPr>
          </w:p>
          <w:p w:rsidR="00D74FA8" w:rsidRDefault="0074775A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Оренбург</w:t>
            </w:r>
          </w:p>
          <w:p w:rsidR="00D74FA8" w:rsidRDefault="00D74FA8">
            <w:pPr>
              <w:widowControl w:val="0"/>
              <w:jc w:val="center"/>
              <w:rPr>
                <w:sz w:val="24"/>
                <w:szCs w:val="24"/>
              </w:rPr>
            </w:pPr>
          </w:p>
          <w:tbl>
            <w:tblPr>
              <w:tblStyle w:val="aff1"/>
              <w:tblW w:w="4819" w:type="dxa"/>
              <w:tblLayout w:type="fixed"/>
              <w:tblLook w:val="01E0" w:firstRow="1" w:lastRow="1" w:firstColumn="1" w:lastColumn="1" w:noHBand="0" w:noVBand="0"/>
            </w:tblPr>
            <w:tblGrid>
              <w:gridCol w:w="4537"/>
              <w:gridCol w:w="282"/>
            </w:tblGrid>
            <w:tr w:rsidR="00D74FA8">
              <w:trPr>
                <w:trHeight w:val="921"/>
              </w:trPr>
              <w:tc>
                <w:tcPr>
                  <w:tcW w:w="45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4FA8" w:rsidRDefault="0074775A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Об организации подготовки </w:t>
                  </w:r>
                </w:p>
                <w:p w:rsidR="00D74FA8" w:rsidRDefault="0074775A">
                  <w:pPr>
                    <w:jc w:val="both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обучающихся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к участию во </w:t>
                  </w:r>
                </w:p>
                <w:p w:rsidR="00D74FA8" w:rsidRDefault="0074775A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всероссийской олимпиаде </w:t>
                  </w:r>
                </w:p>
                <w:p w:rsidR="00D74FA8" w:rsidRDefault="0074775A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школьников в 2025/2026</w:t>
                  </w:r>
                </w:p>
                <w:p w:rsidR="00D74FA8" w:rsidRDefault="0074775A">
                  <w:pPr>
                    <w:jc w:val="both"/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учебном году</w:t>
                  </w:r>
                  <w:proofErr w:type="gramEnd"/>
                </w:p>
              </w:tc>
              <w:tc>
                <w:tcPr>
                  <w:tcW w:w="28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4FA8" w:rsidRDefault="00D74FA8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D74FA8" w:rsidRDefault="00D74FA8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74FA8" w:rsidRDefault="00D74FA8">
            <w:pPr>
              <w:widowControl w:val="0"/>
              <w:jc w:val="center"/>
              <w:rPr>
                <w:sz w:val="28"/>
                <w:szCs w:val="28"/>
              </w:rPr>
            </w:pPr>
          </w:p>
        </w:tc>
      </w:tr>
    </w:tbl>
    <w:p w:rsidR="00D74FA8" w:rsidRDefault="00D74FA8">
      <w:pPr>
        <w:ind w:firstLine="709"/>
        <w:jc w:val="both"/>
        <w:rPr>
          <w:sz w:val="28"/>
          <w:szCs w:val="28"/>
        </w:rPr>
      </w:pP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выявления и развития обучающихся, проявляющих </w:t>
      </w:r>
      <w:r>
        <w:rPr>
          <w:sz w:val="28"/>
          <w:szCs w:val="28"/>
        </w:rPr>
        <w:t>выдающиеся способности в различных предметных областях, создания   условий для качественной подготовки школьников к участию во всероссийской олимпиаде школьников (далее – Олимпиада)                                           в 2025/2026 учебном году</w:t>
      </w:r>
    </w:p>
    <w:p w:rsidR="00D74FA8" w:rsidRDefault="00D74FA8">
      <w:pPr>
        <w:ind w:firstLine="708"/>
        <w:jc w:val="both"/>
        <w:rPr>
          <w:sz w:val="28"/>
          <w:szCs w:val="28"/>
        </w:rPr>
      </w:pPr>
    </w:p>
    <w:p w:rsidR="00D74FA8" w:rsidRDefault="0074775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</w:t>
      </w:r>
      <w:r>
        <w:rPr>
          <w:sz w:val="28"/>
          <w:szCs w:val="28"/>
        </w:rPr>
        <w:t>к а з ы в а ю:</w:t>
      </w:r>
    </w:p>
    <w:p w:rsidR="00D74FA8" w:rsidRDefault="00D74FA8">
      <w:pPr>
        <w:jc w:val="both"/>
        <w:rPr>
          <w:sz w:val="28"/>
          <w:szCs w:val="28"/>
        </w:rPr>
      </w:pPr>
    </w:p>
    <w:p w:rsidR="00D74FA8" w:rsidRDefault="0074775A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Утвердить:</w:t>
      </w:r>
    </w:p>
    <w:p w:rsidR="00D74FA8" w:rsidRDefault="0074775A">
      <w:pPr>
        <w:ind w:left="142" w:hanging="36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        план работы с одаренными школьниками в 2025/2026 учебном году согласно приложению № 1 к настоящему приказу;</w:t>
      </w:r>
    </w:p>
    <w:p w:rsidR="00D74FA8" w:rsidRDefault="007477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перечень центров подготовки школьников к участию во всероссийской олимпиаде школьников в 2025/2026 учебном го</w:t>
      </w:r>
      <w:r>
        <w:rPr>
          <w:sz w:val="28"/>
          <w:szCs w:val="28"/>
        </w:rPr>
        <w:t>ду (далее – центры подготовки) согласно приложению № 2 к настоящему приказу (по согласованию).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Отделу общего и дошкольного образования совместно с центром выявления и поддержки одаренных детей «Гагарин», государственным автономным учреждением дополнител</w:t>
      </w:r>
      <w:r>
        <w:rPr>
          <w:sz w:val="28"/>
          <w:szCs w:val="28"/>
        </w:rPr>
        <w:t>ьного профессионального образования «Институт развития образования Оренбургской области»</w:t>
      </w:r>
      <w:r>
        <w:rPr>
          <w:rStyle w:val="af3"/>
          <w:b w:val="0"/>
          <w:bCs w:val="0"/>
          <w:sz w:val="28"/>
          <w:szCs w:val="28"/>
        </w:rPr>
        <w:t>,</w:t>
      </w:r>
      <w:r>
        <w:rPr>
          <w:sz w:val="28"/>
          <w:szCs w:val="28"/>
        </w:rPr>
        <w:t xml:space="preserve"> государственным бюджетным учреждением дополнительного образования «Оренбургская областная спортивная школа» обеспечить организацию и координацию </w:t>
      </w:r>
      <w:proofErr w:type="spellStart"/>
      <w:r>
        <w:rPr>
          <w:sz w:val="28"/>
          <w:szCs w:val="28"/>
        </w:rPr>
        <w:t>тьюторского</w:t>
      </w:r>
      <w:proofErr w:type="spellEnd"/>
      <w:r>
        <w:rPr>
          <w:sz w:val="28"/>
          <w:szCs w:val="28"/>
        </w:rPr>
        <w:t xml:space="preserve"> сопровожд</w:t>
      </w:r>
      <w:r>
        <w:rPr>
          <w:sz w:val="28"/>
          <w:szCs w:val="28"/>
        </w:rPr>
        <w:t>ения одаренных школьников Оренбургской области в центрах подготовки.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Срок: в течение учебного года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Рекомендовать руководителям муниципальных органов,                    </w:t>
      </w:r>
      <w:r>
        <w:rPr>
          <w:sz w:val="28"/>
          <w:szCs w:val="28"/>
        </w:rPr>
        <w:t>осуществляющих управление в сфере образования: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3.1. Утвердить педагогических работников, ответственных за подготовку школьников к участию в Олимпиаде в 2025/2026 учебном году по каждому общеобразовательному предмету.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                             Срок: до 5 сентября 2025 года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Организовать контроль и назначить </w:t>
      </w:r>
      <w:proofErr w:type="gramStart"/>
      <w:r>
        <w:rPr>
          <w:sz w:val="28"/>
          <w:szCs w:val="28"/>
        </w:rPr>
        <w:t>ответственного</w:t>
      </w:r>
      <w:proofErr w:type="gramEnd"/>
      <w:r>
        <w:rPr>
          <w:sz w:val="28"/>
          <w:szCs w:val="28"/>
        </w:rPr>
        <w:t xml:space="preserve"> за участие          школьников и педагогических работников в мероприятиях центров подготовки.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Разработать муниципальный план </w:t>
      </w:r>
      <w:r>
        <w:rPr>
          <w:sz w:val="28"/>
          <w:szCs w:val="28"/>
        </w:rPr>
        <w:t>мероприятий по подготовке        школьников, имеющих достижения в Олимпиаде в 2024/2025 учебном году, предусмотрев различные формы ее организации, в том числе индивидуальные образовательные маршруты.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                Срок: до 3 октября 2025 года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3.4. Продолжить сотрудничество: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Образовательным фондом «Талант и успех» (федеральная территория «Сириус») в очном и дистанционном формате для обучающихся и педагогов;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родителями одаренных школьников, предус</w:t>
      </w:r>
      <w:r>
        <w:rPr>
          <w:sz w:val="28"/>
          <w:szCs w:val="28"/>
        </w:rPr>
        <w:t>мотрев при этом психологическое сопровождение семьи, совместную практическую деятельность ребенка и его родителей, поддержку и их поощрение на уровне школы, муниципального образования, проведение родительских собраний.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 xml:space="preserve">                                                         Срок: постоянно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3.5. Предусмотреть меры стимулирования, адресной материальной помощи и поощрения одаренных школьников и их наставников, в том числе со стороны предпринимательского сообщества муниципа</w:t>
      </w:r>
      <w:r>
        <w:rPr>
          <w:sz w:val="28"/>
          <w:szCs w:val="28"/>
        </w:rPr>
        <w:t>льных образований.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Срок: постоянно</w:t>
      </w:r>
    </w:p>
    <w:p w:rsidR="00D74FA8" w:rsidRDefault="007477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приказа возложить на первого заместителя министра образования Оренбургской области.</w:t>
      </w:r>
    </w:p>
    <w:p w:rsidR="00D74FA8" w:rsidRDefault="00D74FA8">
      <w:pPr>
        <w:ind w:firstLine="708"/>
        <w:jc w:val="both"/>
        <w:rPr>
          <w:sz w:val="28"/>
          <w:szCs w:val="28"/>
        </w:rPr>
      </w:pPr>
    </w:p>
    <w:p w:rsidR="00D74FA8" w:rsidRDefault="00D74FA8">
      <w:pPr>
        <w:jc w:val="both"/>
        <w:rPr>
          <w:sz w:val="28"/>
          <w:szCs w:val="28"/>
        </w:rPr>
      </w:pPr>
    </w:p>
    <w:p w:rsidR="00D74FA8" w:rsidRDefault="0074775A">
      <w:pPr>
        <w:jc w:val="both"/>
        <w:rPr>
          <w:sz w:val="28"/>
          <w:szCs w:val="28"/>
        </w:rPr>
      </w:pPr>
      <w:r>
        <w:rPr>
          <w:sz w:val="28"/>
          <w:szCs w:val="28"/>
        </w:rPr>
        <w:t>Ми</w:t>
      </w:r>
      <w:r>
        <w:rPr>
          <w:sz w:val="28"/>
          <w:szCs w:val="28"/>
        </w:rPr>
        <w:t xml:space="preserve">нистр                                                                                               </w:t>
      </w:r>
      <w:proofErr w:type="spellStart"/>
      <w:r>
        <w:rPr>
          <w:sz w:val="28"/>
          <w:szCs w:val="28"/>
        </w:rPr>
        <w:t>А.А.Пахомов</w:t>
      </w:r>
      <w:proofErr w:type="spellEnd"/>
    </w:p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74775A">
      <w:pPr>
        <w:widowControl w:val="0"/>
        <w:spacing w:after="120"/>
        <w:rPr>
          <w:rFonts w:ascii="Tahoma" w:eastAsia="Lucida Sans Unicode" w:hAnsi="Tahoma" w:cs="Tahoma"/>
          <w:sz w:val="16"/>
          <w:szCs w:val="16"/>
        </w:rPr>
      </w:pPr>
      <w:r>
        <w:rPr>
          <w:rFonts w:ascii="Tahoma" w:eastAsia="Lucida Sans Unicode" w:hAnsi="Tahoma" w:cs="Tahoma"/>
          <w:sz w:val="16"/>
          <w:szCs w:val="16"/>
        </w:rPr>
        <w:t xml:space="preserve">                                                                                                   </w:t>
      </w:r>
      <w:r>
        <w:rPr>
          <w:noProof/>
        </w:rPr>
        <w:drawing>
          <wp:anchor distT="0" distB="0" distL="0" distR="0" simplePos="0" relativeHeight="3" behindDoc="0" locked="0" layoutInCell="0" allowOverlap="1">
            <wp:simplePos x="0" y="0"/>
            <wp:positionH relativeFrom="character">
              <wp:align>left</wp:align>
            </wp:positionH>
            <wp:positionV relativeFrom="line">
              <wp:posOffset>635</wp:posOffset>
            </wp:positionV>
            <wp:extent cx="2877185" cy="1080135"/>
            <wp:effectExtent l="0" t="0" r="0" b="0"/>
            <wp:wrapNone/>
            <wp:docPr id="3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eastAsia="Lucida Sans Unicode" w:hAnsi="Tahoma" w:cs="Tahoma"/>
          <w:sz w:val="16"/>
          <w:szCs w:val="16"/>
        </w:rPr>
        <w:t xml:space="preserve"> </w:t>
      </w:r>
    </w:p>
    <w:p w:rsidR="00D74FA8" w:rsidRDefault="00D74FA8"/>
    <w:p w:rsidR="00D74FA8" w:rsidRDefault="00D74FA8">
      <w:pPr>
        <w:ind w:firstLine="709"/>
        <w:rPr>
          <w:sz w:val="8"/>
          <w:szCs w:val="8"/>
        </w:rPr>
      </w:pPr>
    </w:p>
    <w:p w:rsidR="00D74FA8" w:rsidRDefault="0074775A">
      <w:pPr>
        <w:rPr>
          <w:sz w:val="8"/>
          <w:szCs w:val="8"/>
        </w:rPr>
      </w:pPr>
      <w:r>
        <w:rPr>
          <w:sz w:val="8"/>
          <w:szCs w:val="8"/>
        </w:rPr>
        <w:t xml:space="preserve">                                      </w:t>
      </w:r>
      <w:r>
        <w:rPr>
          <w:sz w:val="8"/>
          <w:szCs w:val="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8"/>
          <w:szCs w:val="8"/>
        </w:rPr>
        <w:t xml:space="preserve">                                                 </w:t>
      </w:r>
    </w:p>
    <w:p w:rsidR="00D74FA8" w:rsidRDefault="0074775A">
      <w:pPr>
        <w:rPr>
          <w:sz w:val="8"/>
          <w:szCs w:val="8"/>
        </w:rPr>
      </w:pPr>
      <w:r>
        <w:rPr>
          <w:sz w:val="8"/>
          <w:szCs w:val="8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>
        <w:rPr>
          <w:sz w:val="8"/>
          <w:szCs w:val="8"/>
        </w:rPr>
        <w:t xml:space="preserve">                                                                               </w:t>
      </w:r>
    </w:p>
    <w:p w:rsidR="00D74FA8" w:rsidRDefault="0074775A">
      <w:pPr>
        <w:rPr>
          <w:sz w:val="8"/>
          <w:szCs w:val="8"/>
        </w:rPr>
      </w:pPr>
      <w:r>
        <w:br w:type="page"/>
      </w:r>
    </w:p>
    <w:p w:rsidR="00D74FA8" w:rsidRDefault="00D74FA8">
      <w:pPr>
        <w:rPr>
          <w:sz w:val="8"/>
          <w:szCs w:val="8"/>
        </w:rPr>
      </w:pPr>
    </w:p>
    <w:p w:rsidR="00D74FA8" w:rsidRDefault="0074775A">
      <w:pPr>
        <w:rPr>
          <w:sz w:val="8"/>
          <w:szCs w:val="8"/>
        </w:rPr>
      </w:pPr>
      <w:r>
        <w:rPr>
          <w:sz w:val="8"/>
          <w:szCs w:val="8"/>
        </w:rPr>
        <w:t xml:space="preserve">                                                                     </w:t>
      </w:r>
    </w:p>
    <w:tbl>
      <w:tblPr>
        <w:tblStyle w:val="aff1"/>
        <w:tblW w:w="9355" w:type="dxa"/>
        <w:tblLayout w:type="fixed"/>
        <w:tblLook w:val="04A0" w:firstRow="1" w:lastRow="0" w:firstColumn="1" w:lastColumn="0" w:noHBand="0" w:noVBand="1"/>
      </w:tblPr>
      <w:tblGrid>
        <w:gridCol w:w="5616"/>
        <w:gridCol w:w="3739"/>
      </w:tblGrid>
      <w:tr w:rsidR="00D74FA8">
        <w:tc>
          <w:tcPr>
            <w:tcW w:w="5615" w:type="dxa"/>
            <w:tcBorders>
              <w:top w:val="nil"/>
              <w:left w:val="nil"/>
              <w:bottom w:val="nil"/>
              <w:right w:val="nil"/>
            </w:tcBorders>
          </w:tcPr>
          <w:p w:rsidR="00D74FA8" w:rsidRDefault="00D74FA8">
            <w:pPr>
              <w:pStyle w:val="aff0"/>
              <w:rPr>
                <w:sz w:val="28"/>
                <w:szCs w:val="28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nil"/>
              <w:right w:val="nil"/>
            </w:tcBorders>
          </w:tcPr>
          <w:p w:rsidR="00D74FA8" w:rsidRDefault="0074775A">
            <w:pPr>
              <w:pStyle w:val="aff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Приложение № 1 к приказу министерства образования Оренбургской области                                                                      </w:t>
            </w:r>
          </w:p>
        </w:tc>
      </w:tr>
    </w:tbl>
    <w:p w:rsidR="00D74FA8" w:rsidRDefault="00D74FA8">
      <w:pPr>
        <w:rPr>
          <w:sz w:val="8"/>
          <w:szCs w:val="8"/>
        </w:rPr>
      </w:pPr>
    </w:p>
    <w:p w:rsidR="00D74FA8" w:rsidRDefault="00D74FA8">
      <w:pPr>
        <w:rPr>
          <w:sz w:val="8"/>
          <w:szCs w:val="8"/>
        </w:rPr>
      </w:pPr>
    </w:p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74775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План </w:t>
      </w:r>
    </w:p>
    <w:p w:rsidR="00D74FA8" w:rsidRDefault="0074775A">
      <w:pPr>
        <w:jc w:val="center"/>
        <w:rPr>
          <w:sz w:val="28"/>
          <w:szCs w:val="28"/>
        </w:rPr>
      </w:pPr>
      <w:r>
        <w:rPr>
          <w:sz w:val="28"/>
          <w:szCs w:val="28"/>
        </w:rPr>
        <w:t>работы с одаренными школьниками в 2025/2026 учебном году</w:t>
      </w:r>
    </w:p>
    <w:p w:rsidR="00D74FA8" w:rsidRDefault="00D74FA8">
      <w:pPr>
        <w:jc w:val="center"/>
        <w:rPr>
          <w:sz w:val="28"/>
          <w:szCs w:val="28"/>
        </w:rPr>
      </w:pPr>
    </w:p>
    <w:tbl>
      <w:tblPr>
        <w:tblStyle w:val="aff1"/>
        <w:tblW w:w="977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6"/>
        <w:gridCol w:w="4097"/>
        <w:gridCol w:w="2109"/>
        <w:gridCol w:w="2974"/>
      </w:tblGrid>
      <w:tr w:rsidR="00D74FA8">
        <w:tc>
          <w:tcPr>
            <w:tcW w:w="595" w:type="dxa"/>
            <w:tcBorders>
              <w:bottom w:val="nil"/>
            </w:tcBorders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4097" w:type="dxa"/>
            <w:tcBorders>
              <w:bottom w:val="nil"/>
            </w:tcBorders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2109" w:type="dxa"/>
            <w:tcBorders>
              <w:bottom w:val="nil"/>
            </w:tcBorders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974" w:type="dxa"/>
            <w:tcBorders>
              <w:bottom w:val="nil"/>
            </w:tcBorders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</w:tbl>
    <w:p w:rsidR="00D74FA8" w:rsidRDefault="00D74FA8">
      <w:pPr>
        <w:spacing w:line="120" w:lineRule="auto"/>
        <w:rPr>
          <w:b/>
          <w:sz w:val="16"/>
          <w:szCs w:val="16"/>
        </w:rPr>
      </w:pPr>
    </w:p>
    <w:tbl>
      <w:tblPr>
        <w:tblStyle w:val="aff1"/>
        <w:tblW w:w="977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5"/>
        <w:gridCol w:w="4090"/>
        <w:gridCol w:w="2112"/>
        <w:gridCol w:w="2979"/>
      </w:tblGrid>
      <w:tr w:rsidR="00D74FA8">
        <w:trPr>
          <w:tblHeader/>
        </w:trPr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color w:val="0D0D0D"/>
                <w:sz w:val="24"/>
                <w:szCs w:val="24"/>
                <w:shd w:val="clear" w:color="auto" w:fill="FFFFFF"/>
              </w:rPr>
              <w:t>Подбор педагогов                      дополнительного образования – руководителей творческих      объединений для работы с      одаренными детьми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bCs/>
                <w:color w:val="0D0D0D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Ю.А.</w:t>
            </w:r>
          </w:p>
          <w:p w:rsidR="00D74FA8" w:rsidRDefault="0074775A">
            <w:pPr>
              <w:jc w:val="center"/>
              <w:rPr>
                <w:bCs/>
                <w:color w:val="0D0D0D"/>
                <w:sz w:val="24"/>
                <w:szCs w:val="24"/>
                <w:shd w:val="clear" w:color="auto" w:fill="FFFFFF"/>
              </w:rPr>
            </w:pPr>
            <w:r>
              <w:rPr>
                <w:bCs/>
                <w:color w:val="0D0D0D"/>
                <w:sz w:val="24"/>
                <w:szCs w:val="24"/>
                <w:shd w:val="clear" w:color="auto" w:fill="FFFFFF"/>
              </w:rPr>
              <w:t>Крупина С.В.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color w:val="0D0D0D"/>
                <w:sz w:val="24"/>
                <w:szCs w:val="24"/>
                <w:shd w:val="clear" w:color="auto" w:fill="FFFFFF"/>
              </w:rPr>
              <w:t>Величко Е.Н.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bCs/>
                <w:color w:val="0D0D0D"/>
                <w:sz w:val="24"/>
                <w:szCs w:val="24"/>
                <w:shd w:val="clear" w:color="auto" w:fill="FFFFFF"/>
              </w:rPr>
            </w:pPr>
            <w:r>
              <w:rPr>
                <w:bCs/>
                <w:color w:val="0D0D0D"/>
                <w:sz w:val="24"/>
                <w:szCs w:val="24"/>
                <w:shd w:val="clear" w:color="auto" w:fill="FFFFFF"/>
              </w:rPr>
              <w:t xml:space="preserve">Выдача заданий для                    </w:t>
            </w:r>
            <w:r>
              <w:rPr>
                <w:bCs/>
                <w:color w:val="0D0D0D"/>
                <w:sz w:val="24"/>
                <w:szCs w:val="24"/>
                <w:shd w:val="clear" w:color="auto" w:fill="FFFFFF"/>
              </w:rPr>
              <w:t>самостоятельной работы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– октябрь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            отдельному графику)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руководители центров подготовки, отдел  общего и дошкольного образования министерства           образования (далее –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МО), муниципальные органы,       осуществляющ</w:t>
            </w:r>
            <w:r>
              <w:rPr>
                <w:sz w:val="24"/>
                <w:szCs w:val="24"/>
              </w:rPr>
              <w:t>ие управление в сфере образования (далее – МОУО), Институт развития образования Оренбургской области (далее – ИРО ОО), центр выявления и поддержки одаренных детей «Гагарин» (далее – центр             «Гагарин»), Оренбургская областная спортивная школа (дал</w:t>
            </w:r>
            <w:r>
              <w:rPr>
                <w:sz w:val="24"/>
                <w:szCs w:val="24"/>
              </w:rPr>
              <w:t>ее – ООСШ)</w:t>
            </w:r>
            <w:proofErr w:type="gramEnd"/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Зачеты, выдача заданий сельским школьникам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центров подготовки,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МОУО, ИРО ОО, центр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этап всероссийской олимпиады школьников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(далее – ВОШ)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–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ноября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МОУО, общеобразовательные организации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Собеседования с                      представителями МОУО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выступления        одаренных школьников на        школьном этапе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МОУО,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центр</w:t>
            </w:r>
            <w:r>
              <w:rPr>
                <w:sz w:val="24"/>
                <w:szCs w:val="24"/>
              </w:rPr>
              <w:t xml:space="preserve">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Учебно-тренировочные сборы, выдача заданий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центров подготовки,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МОУО, ИРО ОО, центр </w:t>
            </w:r>
            <w:r>
              <w:rPr>
                <w:sz w:val="24"/>
                <w:szCs w:val="24"/>
              </w:rPr>
              <w:lastRenderedPageBreak/>
              <w:t>«Гагарин», ООСШ</w:t>
            </w:r>
          </w:p>
          <w:p w:rsidR="00D74FA8" w:rsidRDefault="00D74FA8">
            <w:pPr>
              <w:jc w:val="center"/>
              <w:rPr>
                <w:sz w:val="24"/>
                <w:szCs w:val="24"/>
              </w:rPr>
            </w:pP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этап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15 декабря 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МОУО,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Зачеты, выдача заданий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центров подготовки, </w:t>
            </w:r>
            <w:proofErr w:type="spellStart"/>
            <w:r>
              <w:rPr>
                <w:sz w:val="24"/>
                <w:szCs w:val="24"/>
              </w:rPr>
              <w:t>ООиМО</w:t>
            </w:r>
            <w:proofErr w:type="spellEnd"/>
            <w:r>
              <w:rPr>
                <w:sz w:val="24"/>
                <w:szCs w:val="24"/>
              </w:rPr>
              <w:t xml:space="preserve"> МО, МОУО, ИРО ОО, центр «Гагарин»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выступления        одаренных школьников на        муниципальном этапе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МОУО,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центр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</w:t>
            </w:r>
            <w:r>
              <w:rPr>
                <w:sz w:val="24"/>
                <w:szCs w:val="24"/>
              </w:rPr>
              <w:t>дования с                       представителями МОУО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Учебно-тренировочные сборы с привлечением преподавателей ВУЗов, выдача заданий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центров подготовки,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ОУО, ИРО ОО, центр «Гагарин», </w:t>
            </w:r>
            <w:r>
              <w:rPr>
                <w:sz w:val="24"/>
                <w:szCs w:val="24"/>
              </w:rPr>
              <w:t>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этап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январь–февраль 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МОУО, ООСШ, центр «Гагарин»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выступления        одаренных школьников на        региональном этапе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МОУО, центр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 с руководителями ОУО, руководителями центров подготовки (итоги выступления школьников на региональном этапе ВОШ, подготовка к          заключительному этапу ВОШ)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Интенсивные занятия с          участниками </w:t>
            </w:r>
            <w:r>
              <w:rPr>
                <w:sz w:val="24"/>
                <w:szCs w:val="24"/>
              </w:rPr>
              <w:t>заключительного этапа ВОШ с привлечением преподавателей ВУЗов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февраль-апрель 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центров подготовки, </w:t>
            </w: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МОУО, ИРО ОО, центр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(очные,               дистанционные)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и центров подготовки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школьников области в заключительном этапе ВОШ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март, апрель 2026 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МОУО, центр «Гагарин», ООСШ</w:t>
            </w:r>
          </w:p>
        </w:tc>
      </w:tr>
      <w:tr w:rsidR="00D74FA8">
        <w:tc>
          <w:tcPr>
            <w:tcW w:w="59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090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 с руководителями МОУО по итогам выступления школьников на заключительном этапе ВОШ и рез</w:t>
            </w:r>
            <w:r>
              <w:rPr>
                <w:sz w:val="24"/>
                <w:szCs w:val="24"/>
              </w:rPr>
              <w:t>ультатам работы центров подготовки в 2025/2026 учебном году</w:t>
            </w:r>
          </w:p>
        </w:tc>
        <w:tc>
          <w:tcPr>
            <w:tcW w:w="2112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 года</w:t>
            </w:r>
          </w:p>
        </w:tc>
        <w:tc>
          <w:tcPr>
            <w:tcW w:w="2979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ООиДО</w:t>
            </w:r>
            <w:proofErr w:type="spellEnd"/>
            <w:r>
              <w:rPr>
                <w:sz w:val="24"/>
                <w:szCs w:val="24"/>
              </w:rPr>
              <w:t xml:space="preserve"> МО, ИРО ОО, центр «Гагарин», ООСШ</w:t>
            </w:r>
          </w:p>
        </w:tc>
      </w:tr>
    </w:tbl>
    <w:p w:rsidR="00D74FA8" w:rsidRDefault="00D74FA8"/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74775A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_______________</w:t>
      </w:r>
    </w:p>
    <w:p w:rsidR="00D74FA8" w:rsidRDefault="00D74FA8">
      <w:pPr>
        <w:ind w:firstLine="709"/>
        <w:jc w:val="both"/>
        <w:rPr>
          <w:sz w:val="8"/>
          <w:szCs w:val="8"/>
        </w:rPr>
      </w:pPr>
    </w:p>
    <w:p w:rsidR="00D74FA8" w:rsidRDefault="0074775A">
      <w:pPr>
        <w:rPr>
          <w:sz w:val="8"/>
          <w:szCs w:val="8"/>
        </w:rPr>
      </w:pPr>
      <w:r>
        <w:rPr>
          <w:sz w:val="8"/>
          <w:szCs w:val="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8"/>
          <w:szCs w:val="8"/>
        </w:rPr>
        <w:t xml:space="preserve">                                                                                   </w:t>
      </w:r>
    </w:p>
    <w:p w:rsidR="00D74FA8" w:rsidRDefault="0074775A">
      <w:pPr>
        <w:rPr>
          <w:sz w:val="8"/>
          <w:szCs w:val="8"/>
        </w:rPr>
      </w:pPr>
      <w:r>
        <w:br w:type="page"/>
      </w:r>
    </w:p>
    <w:p w:rsidR="00D74FA8" w:rsidRDefault="00D74FA8">
      <w:pPr>
        <w:rPr>
          <w:sz w:val="8"/>
          <w:szCs w:val="8"/>
        </w:rPr>
      </w:pPr>
    </w:p>
    <w:p w:rsidR="00D74FA8" w:rsidRDefault="00D74FA8">
      <w:pPr>
        <w:rPr>
          <w:sz w:val="8"/>
          <w:szCs w:val="8"/>
        </w:rPr>
      </w:pPr>
    </w:p>
    <w:p w:rsidR="00D74FA8" w:rsidRDefault="00D74FA8">
      <w:pPr>
        <w:rPr>
          <w:sz w:val="8"/>
          <w:szCs w:val="8"/>
        </w:rPr>
      </w:pPr>
    </w:p>
    <w:tbl>
      <w:tblPr>
        <w:tblStyle w:val="aff1"/>
        <w:tblW w:w="9072" w:type="dxa"/>
        <w:tblLayout w:type="fixed"/>
        <w:tblLook w:val="04A0" w:firstRow="1" w:lastRow="0" w:firstColumn="1" w:lastColumn="0" w:noHBand="0" w:noVBand="1"/>
      </w:tblPr>
      <w:tblGrid>
        <w:gridCol w:w="5387"/>
        <w:gridCol w:w="3685"/>
      </w:tblGrid>
      <w:tr w:rsidR="00D74FA8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D74FA8" w:rsidRDefault="00D74FA8">
            <w:pPr>
              <w:pStyle w:val="aff0"/>
              <w:rPr>
                <w:sz w:val="28"/>
                <w:szCs w:val="28"/>
              </w:rPr>
            </w:pPr>
          </w:p>
          <w:p w:rsidR="00D74FA8" w:rsidRDefault="00D74FA8">
            <w:pPr>
              <w:pStyle w:val="aff0"/>
              <w:rPr>
                <w:sz w:val="28"/>
                <w:szCs w:val="28"/>
              </w:rPr>
            </w:pPr>
          </w:p>
          <w:p w:rsidR="00D74FA8" w:rsidRDefault="00D74FA8">
            <w:pPr>
              <w:pStyle w:val="aff0"/>
              <w:rPr>
                <w:sz w:val="28"/>
                <w:szCs w:val="28"/>
              </w:rPr>
            </w:pPr>
          </w:p>
          <w:p w:rsidR="00D74FA8" w:rsidRDefault="00D74FA8">
            <w:pPr>
              <w:pStyle w:val="aff0"/>
              <w:rPr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D74FA8" w:rsidRDefault="0074775A">
            <w:pPr>
              <w:pStyle w:val="aff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Приложение № 2 к приказу министерства образования Оренбургской области                                                                     </w:t>
            </w:r>
          </w:p>
        </w:tc>
      </w:tr>
    </w:tbl>
    <w:p w:rsidR="00D74FA8" w:rsidRDefault="00D74FA8">
      <w:pPr>
        <w:rPr>
          <w:sz w:val="28"/>
          <w:szCs w:val="28"/>
        </w:rPr>
      </w:pPr>
    </w:p>
    <w:p w:rsidR="00D74FA8" w:rsidRDefault="00D74FA8">
      <w:pPr>
        <w:rPr>
          <w:sz w:val="28"/>
          <w:szCs w:val="28"/>
        </w:rPr>
      </w:pPr>
    </w:p>
    <w:p w:rsidR="00D74FA8" w:rsidRDefault="0074775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</w:t>
      </w:r>
    </w:p>
    <w:p w:rsidR="00D74FA8" w:rsidRDefault="0074775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центров </w:t>
      </w:r>
      <w:r>
        <w:rPr>
          <w:sz w:val="28"/>
          <w:szCs w:val="28"/>
        </w:rPr>
        <w:t>подготовки школьников к участию во всероссийской олимпиаде школьников в 2025/2026 учебном году</w:t>
      </w:r>
    </w:p>
    <w:p w:rsidR="00D74FA8" w:rsidRDefault="00D74FA8">
      <w:pPr>
        <w:rPr>
          <w:b/>
          <w:bCs/>
          <w:sz w:val="28"/>
          <w:szCs w:val="28"/>
        </w:rPr>
      </w:pPr>
    </w:p>
    <w:tbl>
      <w:tblPr>
        <w:tblStyle w:val="aff1"/>
        <w:tblW w:w="1063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74"/>
        <w:gridCol w:w="1983"/>
        <w:gridCol w:w="2127"/>
        <w:gridCol w:w="2125"/>
        <w:gridCol w:w="1843"/>
        <w:gridCol w:w="1984"/>
      </w:tblGrid>
      <w:tr w:rsidR="00D74FA8">
        <w:tc>
          <w:tcPr>
            <w:tcW w:w="573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r>
              <w:rPr>
                <w:rFonts w:ascii="Tinos" w:eastAsia="Tinos" w:hAnsi="Tinos" w:cs="Tinos"/>
                <w:sz w:val="24"/>
                <w:szCs w:val="24"/>
              </w:rPr>
              <w:t>№</w:t>
            </w:r>
          </w:p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proofErr w:type="gramStart"/>
            <w:r>
              <w:rPr>
                <w:rFonts w:ascii="Tinos" w:eastAsia="Tinos" w:hAnsi="Tinos" w:cs="Tinos"/>
                <w:sz w:val="24"/>
                <w:szCs w:val="24"/>
              </w:rPr>
              <w:t>п</w:t>
            </w:r>
            <w:proofErr w:type="gramEnd"/>
            <w:r>
              <w:rPr>
                <w:rFonts w:ascii="Tinos" w:eastAsia="Tinos" w:hAnsi="Tinos" w:cs="Tinos"/>
                <w:sz w:val="24"/>
                <w:szCs w:val="24"/>
              </w:rPr>
              <w:t>/п</w:t>
            </w:r>
          </w:p>
        </w:tc>
        <w:tc>
          <w:tcPr>
            <w:tcW w:w="1983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r>
              <w:rPr>
                <w:rFonts w:ascii="Tinos" w:eastAsia="Tinos" w:hAnsi="Tinos" w:cs="Tinos"/>
                <w:sz w:val="24"/>
                <w:szCs w:val="24"/>
              </w:rPr>
              <w:t>Предмет</w:t>
            </w:r>
          </w:p>
        </w:tc>
        <w:tc>
          <w:tcPr>
            <w:tcW w:w="2127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r>
              <w:rPr>
                <w:rFonts w:ascii="Tinos" w:eastAsia="Tinos" w:hAnsi="Tinos" w:cs="Tinos"/>
                <w:sz w:val="24"/>
                <w:szCs w:val="24"/>
              </w:rPr>
              <w:t>Центр подготовки школьников к олимпиаде</w:t>
            </w:r>
          </w:p>
        </w:tc>
        <w:tc>
          <w:tcPr>
            <w:tcW w:w="2125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r>
              <w:rPr>
                <w:rFonts w:ascii="Tinos" w:eastAsia="Tinos" w:hAnsi="Tinos" w:cs="Tinos"/>
                <w:sz w:val="24"/>
                <w:szCs w:val="24"/>
              </w:rPr>
              <w:t>Категория школьников - участников подготовки</w:t>
            </w:r>
          </w:p>
        </w:tc>
        <w:tc>
          <w:tcPr>
            <w:tcW w:w="1843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r>
              <w:rPr>
                <w:rFonts w:ascii="Tinos" w:eastAsia="Tinos" w:hAnsi="Tinos" w:cs="Tinos"/>
                <w:sz w:val="24"/>
                <w:szCs w:val="24"/>
              </w:rPr>
              <w:t>Руководитель центра подготовки</w:t>
            </w:r>
          </w:p>
        </w:tc>
        <w:tc>
          <w:tcPr>
            <w:tcW w:w="1984" w:type="dxa"/>
            <w:vAlign w:val="center"/>
          </w:tcPr>
          <w:p w:rsidR="00D74FA8" w:rsidRDefault="0074775A">
            <w:pPr>
              <w:jc w:val="center"/>
              <w:rPr>
                <w:rFonts w:ascii="Tinos" w:hAnsi="Tinos" w:cs="Tinos"/>
                <w:sz w:val="24"/>
                <w:szCs w:val="24"/>
              </w:rPr>
            </w:pPr>
            <w:proofErr w:type="gramStart"/>
            <w:r>
              <w:rPr>
                <w:rFonts w:ascii="Tinos" w:eastAsia="Tinos" w:hAnsi="Tinos" w:cs="Tinos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nos" w:eastAsia="Tinos" w:hAnsi="Tinos" w:cs="Tinos"/>
                <w:sz w:val="24"/>
                <w:szCs w:val="24"/>
              </w:rPr>
              <w:t xml:space="preserve"> за организацию р</w:t>
            </w:r>
            <w:r>
              <w:rPr>
                <w:rFonts w:ascii="Tinos" w:eastAsia="Tinos" w:hAnsi="Tinos" w:cs="Tinos"/>
                <w:sz w:val="24"/>
                <w:szCs w:val="24"/>
              </w:rPr>
              <w:t>аботы центра</w:t>
            </w:r>
          </w:p>
        </w:tc>
      </w:tr>
      <w:tr w:rsidR="00D74FA8">
        <w:tc>
          <w:tcPr>
            <w:tcW w:w="573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3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5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1.</w:t>
            </w:r>
          </w:p>
        </w:tc>
        <w:tc>
          <w:tcPr>
            <w:tcW w:w="198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ОО г. Бугуруслана, Матвеевского, </w:t>
            </w:r>
            <w:proofErr w:type="spellStart"/>
            <w:r>
              <w:rPr>
                <w:sz w:val="24"/>
                <w:szCs w:val="24"/>
              </w:rPr>
              <w:t>Новоорского</w:t>
            </w:r>
            <w:proofErr w:type="spellEnd"/>
            <w:r>
              <w:rPr>
                <w:sz w:val="24"/>
                <w:szCs w:val="24"/>
              </w:rPr>
              <w:t xml:space="preserve"> районов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Белков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Андрей Петрович</w:t>
            </w:r>
          </w:p>
          <w:p w:rsidR="00D74FA8" w:rsidRDefault="00D74FA8">
            <w:pPr>
              <w:jc w:val="center"/>
              <w:rPr>
                <w:sz w:val="24"/>
                <w:szCs w:val="24"/>
              </w:rPr>
            </w:pP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Жакасов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Ильяс </w:t>
            </w:r>
            <w:proofErr w:type="spellStart"/>
            <w:r>
              <w:rPr>
                <w:sz w:val="24"/>
                <w:szCs w:val="24"/>
              </w:rPr>
              <w:t>Сакенович</w:t>
            </w:r>
            <w:proofErr w:type="spellEnd"/>
          </w:p>
          <w:p w:rsidR="00D74FA8" w:rsidRDefault="00D74FA8">
            <w:pPr>
              <w:jc w:val="center"/>
              <w:rPr>
                <w:sz w:val="24"/>
                <w:szCs w:val="24"/>
              </w:rPr>
            </w:pP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Хамидуллин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Ильнур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Крупина Светлана Владимировна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«Гимназия № 1»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«Гимназия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№ 1»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Попова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Татьяна </w:t>
            </w:r>
            <w:proofErr w:type="spellStart"/>
            <w:r>
              <w:rPr>
                <w:sz w:val="24"/>
                <w:szCs w:val="24"/>
              </w:rPr>
              <w:t>Рубэновна</w:t>
            </w:r>
            <w:proofErr w:type="spellEnd"/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«Гимназия № 1»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школьники МОАУ «Гимназия 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Балаба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Оксана Денисовна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«Гимназия № 5»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</w:t>
            </w:r>
            <w:r>
              <w:rPr>
                <w:sz w:val="24"/>
                <w:szCs w:val="24"/>
              </w:rPr>
              <w:t xml:space="preserve"> МОАУ «Гимназия № 5»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Похлебина</w:t>
            </w:r>
            <w:proofErr w:type="spellEnd"/>
            <w:r>
              <w:rPr>
                <w:sz w:val="24"/>
                <w:szCs w:val="24"/>
              </w:rPr>
              <w:t xml:space="preserve"> Дарья Сергеевна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«Гимназия № 3»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«Гимназия № 3»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Касаткина Светлана Анатольевна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«Гимназия № 8»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Школьники МОАУ </w:t>
            </w:r>
            <w:r>
              <w:rPr>
                <w:sz w:val="24"/>
                <w:szCs w:val="24"/>
              </w:rPr>
              <w:t>«Гимназия № 8»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Татаринова Наталья Сергеевна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«СОШ № 85»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«СОШ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85»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Наталья Владимировна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«Физико-математический лицей»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Школьники МОАУ </w:t>
            </w:r>
            <w:r>
              <w:rPr>
                <w:sz w:val="24"/>
                <w:szCs w:val="24"/>
              </w:rPr>
              <w:t>«Физико-математический лицей»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  <w:highlight w:val="red"/>
              </w:rPr>
            </w:pPr>
            <w:r>
              <w:rPr>
                <w:sz w:val="24"/>
                <w:szCs w:val="24"/>
              </w:rPr>
              <w:t>Лычагина Татьяна Алексеевна</w:t>
            </w:r>
          </w:p>
          <w:p w:rsidR="00D74FA8" w:rsidRDefault="00D74F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«Физико-</w:t>
            </w:r>
            <w:r>
              <w:rPr>
                <w:sz w:val="24"/>
                <w:szCs w:val="24"/>
              </w:rPr>
              <w:lastRenderedPageBreak/>
              <w:t>математический лицей»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Школьники </w:t>
            </w:r>
            <w:r>
              <w:rPr>
                <w:sz w:val="24"/>
                <w:szCs w:val="24"/>
              </w:rPr>
              <w:lastRenderedPageBreak/>
              <w:t>МОАУ «Физико-математический лицей»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Фабрикантова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Елена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Владимировна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</w:t>
            </w:r>
            <w:r>
              <w:rPr>
                <w:sz w:val="24"/>
                <w:szCs w:val="24"/>
              </w:rPr>
              <w:lastRenderedPageBreak/>
              <w:t>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«Лицей № 4»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«Лицей № 4»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Сысоева Марина Станиславовна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«Лицей № 5»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«Лицей № 5»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Сизенцова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Зоя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Вениаминовна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МОАУ «СОШ № 61»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МОАУ «СОШ № 61»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Калетина</w:t>
            </w:r>
            <w:proofErr w:type="spellEnd"/>
            <w:r>
              <w:rPr>
                <w:sz w:val="24"/>
                <w:szCs w:val="24"/>
              </w:rPr>
              <w:t xml:space="preserve"> Элеонора Витальевна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Галяпо</w:t>
            </w:r>
            <w:proofErr w:type="spellEnd"/>
            <w:r>
              <w:rPr>
                <w:sz w:val="24"/>
                <w:szCs w:val="24"/>
              </w:rPr>
              <w:t xml:space="preserve"> Светлана Александровна</w:t>
            </w:r>
          </w:p>
        </w:tc>
      </w:tr>
      <w:tr w:rsidR="00D74FA8">
        <w:trPr>
          <w:trHeight w:val="131"/>
        </w:trPr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выявления и поддержки одаренных детей «Гагарин», Оренбургская область (далее – Центр «Гагарин»)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Дорошкевич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Андрей Владиславович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Ленева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Елена Александровна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Елина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Елена Евгеньевна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</w:t>
            </w:r>
            <w:r>
              <w:rPr>
                <w:sz w:val="24"/>
                <w:szCs w:val="24"/>
              </w:rPr>
              <w:t xml:space="preserve">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Катков 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Михаил Борисович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Савинов Владислав Вячеславович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Горелик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Анна </w:t>
            </w:r>
            <w:r>
              <w:rPr>
                <w:sz w:val="24"/>
                <w:szCs w:val="24"/>
              </w:rPr>
              <w:t>Александровна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Брякова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Ирина Евгеньевна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Гузаиров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Гафур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Мустафович</w:t>
            </w:r>
            <w:proofErr w:type="spellEnd"/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Заельская</w:t>
            </w:r>
            <w:proofErr w:type="spellEnd"/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Светлана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Александровна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Головатая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Диана </w:t>
            </w:r>
            <w:proofErr w:type="spellStart"/>
            <w:r>
              <w:rPr>
                <w:sz w:val="24"/>
                <w:szCs w:val="24"/>
              </w:rPr>
              <w:t>Сиеткалиевна</w:t>
            </w:r>
            <w:proofErr w:type="spellEnd"/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Головатая</w:t>
            </w:r>
          </w:p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Диана </w:t>
            </w:r>
            <w:proofErr w:type="spellStart"/>
            <w:r>
              <w:rPr>
                <w:sz w:val="24"/>
                <w:szCs w:val="24"/>
              </w:rPr>
              <w:t>Сиеткалиевна</w:t>
            </w:r>
            <w:proofErr w:type="spellEnd"/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Анатольевна</w:t>
            </w:r>
          </w:p>
          <w:p w:rsidR="00D74FA8" w:rsidRDefault="00D74FA8">
            <w:pPr>
              <w:jc w:val="center"/>
              <w:rPr>
                <w:sz w:val="24"/>
                <w:szCs w:val="24"/>
              </w:rPr>
            </w:pPr>
          </w:p>
        </w:tc>
      </w:tr>
      <w:tr w:rsidR="00D74FA8">
        <w:tc>
          <w:tcPr>
            <w:tcW w:w="573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1983" w:type="dxa"/>
          </w:tcPr>
          <w:p w:rsidR="00D74FA8" w:rsidRDefault="0074775A">
            <w:pPr>
              <w:pStyle w:val="24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127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Центр «Гагарин»</w:t>
            </w:r>
          </w:p>
        </w:tc>
        <w:tc>
          <w:tcPr>
            <w:tcW w:w="2125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 области</w:t>
            </w:r>
          </w:p>
        </w:tc>
        <w:tc>
          <w:tcPr>
            <w:tcW w:w="1843" w:type="dxa"/>
          </w:tcPr>
          <w:p w:rsidR="00D74FA8" w:rsidRDefault="0074775A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rStyle w:val="af2"/>
                <w:i w:val="0"/>
                <w:sz w:val="24"/>
                <w:szCs w:val="24"/>
                <w:shd w:val="clear" w:color="auto" w:fill="FFFFFF"/>
              </w:rPr>
              <w:t xml:space="preserve">Дорошкевич Андрей </w:t>
            </w:r>
            <w:r>
              <w:rPr>
                <w:rStyle w:val="af2"/>
                <w:i w:val="0"/>
                <w:sz w:val="24"/>
                <w:szCs w:val="24"/>
                <w:shd w:val="clear" w:color="auto" w:fill="FFFFFF"/>
              </w:rPr>
              <w:lastRenderedPageBreak/>
              <w:t>Владиславович</w:t>
            </w:r>
          </w:p>
        </w:tc>
        <w:tc>
          <w:tcPr>
            <w:tcW w:w="1984" w:type="dxa"/>
          </w:tcPr>
          <w:p w:rsidR="00D74FA8" w:rsidRDefault="00747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Жантурганова</w:t>
            </w:r>
            <w:proofErr w:type="spellEnd"/>
            <w:r>
              <w:rPr>
                <w:sz w:val="24"/>
                <w:szCs w:val="24"/>
              </w:rPr>
              <w:t xml:space="preserve"> Юлия </w:t>
            </w:r>
            <w:r>
              <w:rPr>
                <w:sz w:val="24"/>
                <w:szCs w:val="24"/>
              </w:rPr>
              <w:lastRenderedPageBreak/>
              <w:t>Анатольевна</w:t>
            </w:r>
          </w:p>
        </w:tc>
      </w:tr>
    </w:tbl>
    <w:p w:rsidR="00D74FA8" w:rsidRDefault="00D74FA8">
      <w:pPr>
        <w:ind w:firstLine="709"/>
        <w:rPr>
          <w:sz w:val="28"/>
          <w:szCs w:val="28"/>
        </w:rPr>
      </w:pPr>
    </w:p>
    <w:p w:rsidR="00D74FA8" w:rsidRDefault="0074775A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______________</w:t>
      </w:r>
    </w:p>
    <w:p w:rsidR="00D74FA8" w:rsidRDefault="0074775A">
      <w:pPr>
        <w:ind w:firstLine="709"/>
        <w:rPr>
          <w:sz w:val="28"/>
          <w:szCs w:val="28"/>
        </w:rPr>
      </w:pPr>
      <w:r>
        <w:rPr>
          <w:sz w:val="28"/>
          <w:szCs w:val="28"/>
        </w:rPr>
        <w:t>_</w:t>
      </w:r>
    </w:p>
    <w:sectPr w:rsidR="00D74FA8">
      <w:headerReference w:type="default" r:id="rId11"/>
      <w:pgSz w:w="11906" w:h="16838"/>
      <w:pgMar w:top="1134" w:right="850" w:bottom="1134" w:left="1701" w:header="708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75A" w:rsidRDefault="0074775A">
      <w:r>
        <w:separator/>
      </w:r>
    </w:p>
  </w:endnote>
  <w:endnote w:type="continuationSeparator" w:id="0">
    <w:p w:rsidR="0074775A" w:rsidRDefault="00747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nos">
    <w:altName w:val="Times New Roman"/>
    <w:charset w:val="01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75A" w:rsidRDefault="0074775A">
      <w:r>
        <w:separator/>
      </w:r>
    </w:p>
  </w:footnote>
  <w:footnote w:type="continuationSeparator" w:id="0">
    <w:p w:rsidR="0074775A" w:rsidRDefault="007477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A8" w:rsidRDefault="0074775A">
    <w:pPr>
      <w:pStyle w:val="af7"/>
      <w:jc w:val="center"/>
    </w:pPr>
    <w:r>
      <w:fldChar w:fldCharType="begin"/>
    </w:r>
    <w:r>
      <w:instrText xml:space="preserve"> PAGE </w:instrText>
    </w:r>
    <w:r>
      <w:fldChar w:fldCharType="separate"/>
    </w:r>
    <w:r w:rsidR="00AA1453">
      <w:rPr>
        <w:noProof/>
      </w:rPr>
      <w:t>2</w:t>
    </w:r>
    <w:r>
      <w:fldChar w:fldCharType="end"/>
    </w:r>
  </w:p>
  <w:p w:rsidR="00D74FA8" w:rsidRDefault="00D74FA8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41CD4"/>
    <w:multiLevelType w:val="multilevel"/>
    <w:tmpl w:val="2ED03E14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  <w:rPr>
        <w:rFonts w:cs="Times New Roman"/>
      </w:rPr>
    </w:lvl>
  </w:abstractNum>
  <w:abstractNum w:abstractNumId="1">
    <w:nsid w:val="7CB9101A"/>
    <w:multiLevelType w:val="multilevel"/>
    <w:tmpl w:val="F392BF2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FA8"/>
    <w:rsid w:val="0074775A"/>
    <w:rsid w:val="00AA1453"/>
    <w:rsid w:val="00D7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qFormat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qFormat/>
    <w:rPr>
      <w:sz w:val="24"/>
      <w:szCs w:val="24"/>
    </w:rPr>
  </w:style>
  <w:style w:type="character" w:customStyle="1" w:styleId="21">
    <w:name w:val="Цитата 2 Знак"/>
    <w:link w:val="22"/>
    <w:uiPriority w:val="29"/>
    <w:qFormat/>
    <w:rPr>
      <w:i/>
    </w:rPr>
  </w:style>
  <w:style w:type="character" w:customStyle="1" w:styleId="a7">
    <w:name w:val="Выделенная цитата Знак"/>
    <w:link w:val="a8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a9">
    <w:name w:val="Название объекта Знак"/>
    <w:basedOn w:val="a0"/>
    <w:link w:val="aa"/>
    <w:uiPriority w:val="35"/>
    <w:qFormat/>
    <w:rPr>
      <w:b/>
      <w:bCs/>
      <w:color w:val="4472C4" w:themeColor="accent1"/>
      <w:sz w:val="18"/>
      <w:szCs w:val="18"/>
    </w:rPr>
  </w:style>
  <w:style w:type="character" w:styleId="ab">
    <w:name w:val="Hyperlink"/>
    <w:uiPriority w:val="99"/>
    <w:unhideWhenUsed/>
    <w:rPr>
      <w:color w:val="0563C1" w:themeColor="hyperlink"/>
      <w:u w:val="single"/>
    </w:rPr>
  </w:style>
  <w:style w:type="character" w:customStyle="1" w:styleId="ac">
    <w:name w:val="Текст сноски Знак"/>
    <w:link w:val="ad"/>
    <w:uiPriority w:val="99"/>
    <w:qFormat/>
    <w:rPr>
      <w:sz w:val="18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Текст концевой сноски Знак"/>
    <w:link w:val="af0"/>
    <w:uiPriority w:val="99"/>
    <w:qFormat/>
    <w:rPr>
      <w:sz w:val="20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styleId="af1">
    <w:name w:val="endnote reference"/>
    <w:rPr>
      <w:vertAlign w:val="superscript"/>
    </w:rPr>
  </w:style>
  <w:style w:type="character" w:customStyle="1" w:styleId="23">
    <w:name w:val="Основной текст (2)_"/>
    <w:link w:val="24"/>
    <w:qFormat/>
    <w:rPr>
      <w:sz w:val="28"/>
      <w:shd w:val="clear" w:color="auto" w:fill="FFFFFF"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customStyle="1" w:styleId="af4">
    <w:name w:val="Текст выноски Знак"/>
    <w:basedOn w:val="a0"/>
    <w:link w:val="af5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6">
    <w:name w:val="Верхний колонтитул Знак"/>
    <w:basedOn w:val="a0"/>
    <w:link w:val="af7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Нижний колонтитул Знак"/>
    <w:basedOn w:val="a0"/>
    <w:link w:val="af9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">
    <w:name w:val="Heading"/>
    <w:basedOn w:val="a"/>
    <w:next w:val="afa"/>
    <w:qFormat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fa">
    <w:name w:val="Body Text"/>
    <w:basedOn w:val="a"/>
    <w:pPr>
      <w:spacing w:after="140" w:line="276" w:lineRule="auto"/>
    </w:pPr>
  </w:style>
  <w:style w:type="paragraph" w:styleId="afb">
    <w:name w:val="List"/>
    <w:basedOn w:val="afa"/>
  </w:style>
  <w:style w:type="paragraph" w:styleId="aa">
    <w:name w:val="caption"/>
    <w:basedOn w:val="a"/>
    <w:next w:val="a"/>
    <w:link w:val="a9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fc">
    <w:name w:val="List Paragraph"/>
    <w:basedOn w:val="a"/>
    <w:uiPriority w:val="34"/>
    <w:qFormat/>
    <w:pPr>
      <w:spacing w:after="160"/>
      <w:ind w:left="720"/>
      <w:contextualSpacing/>
    </w:pPr>
  </w:style>
  <w:style w:type="paragraph" w:styleId="a4">
    <w:name w:val="Title"/>
    <w:basedOn w:val="a"/>
    <w:next w:val="a"/>
    <w:link w:val="a3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6">
    <w:name w:val="Subtitle"/>
    <w:basedOn w:val="a"/>
    <w:next w:val="a"/>
    <w:link w:val="a5"/>
    <w:uiPriority w:val="11"/>
    <w:qFormat/>
    <w:pPr>
      <w:spacing w:before="200" w:after="200"/>
    </w:pPr>
    <w:rPr>
      <w:sz w:val="24"/>
      <w:szCs w:val="24"/>
    </w:rPr>
  </w:style>
  <w:style w:type="paragraph" w:styleId="22">
    <w:name w:val="Quote"/>
    <w:basedOn w:val="a"/>
    <w:next w:val="a"/>
    <w:link w:val="21"/>
    <w:uiPriority w:val="29"/>
    <w:qFormat/>
    <w:pPr>
      <w:ind w:left="720" w:right="720"/>
    </w:pPr>
    <w:rPr>
      <w:i/>
    </w:rPr>
  </w:style>
  <w:style w:type="paragraph" w:styleId="a8">
    <w:name w:val="Intense Quote"/>
    <w:basedOn w:val="a"/>
    <w:next w:val="a"/>
    <w:link w:val="a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160"/>
      <w:ind w:left="720" w:right="720"/>
    </w:pPr>
    <w:rPr>
      <w:i/>
    </w:rPr>
  </w:style>
  <w:style w:type="paragraph" w:styleId="ad">
    <w:name w:val="footnote text"/>
    <w:basedOn w:val="a"/>
    <w:link w:val="ac"/>
    <w:uiPriority w:val="99"/>
    <w:semiHidden/>
    <w:unhideWhenUsed/>
    <w:pPr>
      <w:spacing w:after="40"/>
    </w:pPr>
    <w:rPr>
      <w:sz w:val="18"/>
    </w:rPr>
  </w:style>
  <w:style w:type="paragraph" w:styleId="af0">
    <w:name w:val="endnote text"/>
    <w:basedOn w:val="a"/>
    <w:link w:val="af"/>
    <w:uiPriority w:val="99"/>
    <w:semiHidden/>
    <w:unhideWhenUsed/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5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d">
    <w:name w:val="index heading"/>
    <w:basedOn w:val="Heading"/>
  </w:style>
  <w:style w:type="paragraph" w:styleId="afe">
    <w:name w:val="TOC Heading"/>
    <w:uiPriority w:val="39"/>
    <w:unhideWhenUsed/>
    <w:pPr>
      <w:spacing w:after="160" w:line="259" w:lineRule="auto"/>
    </w:pPr>
  </w:style>
  <w:style w:type="paragraph" w:styleId="aff">
    <w:name w:val="table of figures"/>
    <w:basedOn w:val="a"/>
    <w:next w:val="a"/>
    <w:uiPriority w:val="99"/>
    <w:unhideWhenUsed/>
    <w:qFormat/>
  </w:style>
  <w:style w:type="paragraph" w:styleId="aff0">
    <w:name w:val="No Spacing"/>
    <w:uiPriority w:val="1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4">
    <w:name w:val="Основной текст (2)"/>
    <w:basedOn w:val="a"/>
    <w:link w:val="23"/>
    <w:qFormat/>
    <w:pPr>
      <w:widowControl w:val="0"/>
      <w:shd w:val="clear" w:color="auto" w:fill="FFFFFF"/>
      <w:spacing w:line="240" w:lineRule="atLeast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styleId="af5">
    <w:name w:val="Balloon Text"/>
    <w:basedOn w:val="a"/>
    <w:link w:val="af4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customStyle="1" w:styleId="HeaderandFooter">
    <w:name w:val="Header and Footer"/>
    <w:basedOn w:val="a"/>
    <w:qFormat/>
  </w:style>
  <w:style w:type="paragraph" w:styleId="af7">
    <w:name w:val="head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paragraph" w:styleId="af9">
    <w:name w:val="footer"/>
    <w:basedOn w:val="a"/>
    <w:link w:val="af8"/>
    <w:uiPriority w:val="99"/>
    <w:unhideWhenUsed/>
    <w:pPr>
      <w:tabs>
        <w:tab w:val="center" w:pos="4677"/>
        <w:tab w:val="right" w:pos="9355"/>
      </w:tabs>
    </w:p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Ind w:w="0" w:type="nil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nil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nil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FFFFFF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3F3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FFFFFF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FFFFFF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1"/>
      </w:tcPr>
    </w:tblStylePr>
    <w:tblStylePr w:type="firstCol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Col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band1Vert">
      <w:tblPr/>
      <w:tcPr>
        <w:shd w:val="clear" w:color="FFFFFF" w:fill="A9BEE4" w:themeFill="accent1" w:themeFillTint="75"/>
      </w:tcPr>
    </w:tblStylePr>
    <w:tblStylePr w:type="band1Horz">
      <w:tblPr/>
      <w:tcPr>
        <w:shd w:val="clear" w:color="FFFFFF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5"/>
      </w:tcPr>
    </w:tblStylePr>
    <w:tblStylePr w:type="firstCol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Col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band1Vert">
      <w:tblPr/>
      <w:tcPr>
        <w:shd w:val="clear" w:color="FFFFFF" w:fill="B3D0EB" w:themeFill="accent5" w:themeFillTint="75"/>
      </w:tcPr>
    </w:tblStylePr>
    <w:tblStylePr w:type="band1Horz">
      <w:tblPr/>
      <w:tcPr>
        <w:shd w:val="clear" w:color="FFFFFF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left w:w="0" w:type="dxa"/>
        <w:right w:w="0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left w:w="0" w:type="dxa"/>
        <w:right w:w="0" w:type="dxa"/>
      </w:tblCellMar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tblPr/>
      <w:tcPr>
        <w:shd w:val="clear" w:color="FFFFFF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tblPr/>
      <w:tcPr>
        <w:shd w:val="clear" w:color="FFFFFF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FFFFFF" w:fill="4472C4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FFFFFF" w:fill="9BC2E5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4472C4" w:themeColor="accent1"/>
        <w:bottom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aff1">
    <w:name w:val="Table Grid"/>
    <w:basedOn w:val="a1"/>
    <w:uiPriority w:val="39"/>
    <w:rPr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qFormat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qFormat/>
    <w:rPr>
      <w:sz w:val="24"/>
      <w:szCs w:val="24"/>
    </w:rPr>
  </w:style>
  <w:style w:type="character" w:customStyle="1" w:styleId="21">
    <w:name w:val="Цитата 2 Знак"/>
    <w:link w:val="22"/>
    <w:uiPriority w:val="29"/>
    <w:qFormat/>
    <w:rPr>
      <w:i/>
    </w:rPr>
  </w:style>
  <w:style w:type="character" w:customStyle="1" w:styleId="a7">
    <w:name w:val="Выделенная цитата Знак"/>
    <w:link w:val="a8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a9">
    <w:name w:val="Название объекта Знак"/>
    <w:basedOn w:val="a0"/>
    <w:link w:val="aa"/>
    <w:uiPriority w:val="35"/>
    <w:qFormat/>
    <w:rPr>
      <w:b/>
      <w:bCs/>
      <w:color w:val="4472C4" w:themeColor="accent1"/>
      <w:sz w:val="18"/>
      <w:szCs w:val="18"/>
    </w:rPr>
  </w:style>
  <w:style w:type="character" w:styleId="ab">
    <w:name w:val="Hyperlink"/>
    <w:uiPriority w:val="99"/>
    <w:unhideWhenUsed/>
    <w:rPr>
      <w:color w:val="0563C1" w:themeColor="hyperlink"/>
      <w:u w:val="single"/>
    </w:rPr>
  </w:style>
  <w:style w:type="character" w:customStyle="1" w:styleId="ac">
    <w:name w:val="Текст сноски Знак"/>
    <w:link w:val="ad"/>
    <w:uiPriority w:val="99"/>
    <w:qFormat/>
    <w:rPr>
      <w:sz w:val="18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Текст концевой сноски Знак"/>
    <w:link w:val="af0"/>
    <w:uiPriority w:val="99"/>
    <w:qFormat/>
    <w:rPr>
      <w:sz w:val="20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styleId="af1">
    <w:name w:val="endnote reference"/>
    <w:rPr>
      <w:vertAlign w:val="superscript"/>
    </w:rPr>
  </w:style>
  <w:style w:type="character" w:customStyle="1" w:styleId="23">
    <w:name w:val="Основной текст (2)_"/>
    <w:link w:val="24"/>
    <w:qFormat/>
    <w:rPr>
      <w:sz w:val="28"/>
      <w:shd w:val="clear" w:color="auto" w:fill="FFFFFF"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customStyle="1" w:styleId="af4">
    <w:name w:val="Текст выноски Знак"/>
    <w:basedOn w:val="a0"/>
    <w:link w:val="af5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6">
    <w:name w:val="Верхний колонтитул Знак"/>
    <w:basedOn w:val="a0"/>
    <w:link w:val="af7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Нижний колонтитул Знак"/>
    <w:basedOn w:val="a0"/>
    <w:link w:val="af9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">
    <w:name w:val="Heading"/>
    <w:basedOn w:val="a"/>
    <w:next w:val="afa"/>
    <w:qFormat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fa">
    <w:name w:val="Body Text"/>
    <w:basedOn w:val="a"/>
    <w:pPr>
      <w:spacing w:after="140" w:line="276" w:lineRule="auto"/>
    </w:pPr>
  </w:style>
  <w:style w:type="paragraph" w:styleId="afb">
    <w:name w:val="List"/>
    <w:basedOn w:val="afa"/>
  </w:style>
  <w:style w:type="paragraph" w:styleId="aa">
    <w:name w:val="caption"/>
    <w:basedOn w:val="a"/>
    <w:next w:val="a"/>
    <w:link w:val="a9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a"/>
    <w:qFormat/>
    <w:pPr>
      <w:suppressLineNumbers/>
    </w:pPr>
  </w:style>
  <w:style w:type="paragraph" w:styleId="afc">
    <w:name w:val="List Paragraph"/>
    <w:basedOn w:val="a"/>
    <w:uiPriority w:val="34"/>
    <w:qFormat/>
    <w:pPr>
      <w:spacing w:after="160"/>
      <w:ind w:left="720"/>
      <w:contextualSpacing/>
    </w:pPr>
  </w:style>
  <w:style w:type="paragraph" w:styleId="a4">
    <w:name w:val="Title"/>
    <w:basedOn w:val="a"/>
    <w:next w:val="a"/>
    <w:link w:val="a3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6">
    <w:name w:val="Subtitle"/>
    <w:basedOn w:val="a"/>
    <w:next w:val="a"/>
    <w:link w:val="a5"/>
    <w:uiPriority w:val="11"/>
    <w:qFormat/>
    <w:pPr>
      <w:spacing w:before="200" w:after="200"/>
    </w:pPr>
    <w:rPr>
      <w:sz w:val="24"/>
      <w:szCs w:val="24"/>
    </w:rPr>
  </w:style>
  <w:style w:type="paragraph" w:styleId="22">
    <w:name w:val="Quote"/>
    <w:basedOn w:val="a"/>
    <w:next w:val="a"/>
    <w:link w:val="21"/>
    <w:uiPriority w:val="29"/>
    <w:qFormat/>
    <w:pPr>
      <w:ind w:left="720" w:right="720"/>
    </w:pPr>
    <w:rPr>
      <w:i/>
    </w:rPr>
  </w:style>
  <w:style w:type="paragraph" w:styleId="a8">
    <w:name w:val="Intense Quote"/>
    <w:basedOn w:val="a"/>
    <w:next w:val="a"/>
    <w:link w:val="a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160"/>
      <w:ind w:left="720" w:right="720"/>
    </w:pPr>
    <w:rPr>
      <w:i/>
    </w:rPr>
  </w:style>
  <w:style w:type="paragraph" w:styleId="ad">
    <w:name w:val="footnote text"/>
    <w:basedOn w:val="a"/>
    <w:link w:val="ac"/>
    <w:uiPriority w:val="99"/>
    <w:semiHidden/>
    <w:unhideWhenUsed/>
    <w:pPr>
      <w:spacing w:after="40"/>
    </w:pPr>
    <w:rPr>
      <w:sz w:val="18"/>
    </w:rPr>
  </w:style>
  <w:style w:type="paragraph" w:styleId="af0">
    <w:name w:val="endnote text"/>
    <w:basedOn w:val="a"/>
    <w:link w:val="af"/>
    <w:uiPriority w:val="99"/>
    <w:semiHidden/>
    <w:unhideWhenUsed/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5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d">
    <w:name w:val="index heading"/>
    <w:basedOn w:val="Heading"/>
  </w:style>
  <w:style w:type="paragraph" w:styleId="afe">
    <w:name w:val="TOC Heading"/>
    <w:uiPriority w:val="39"/>
    <w:unhideWhenUsed/>
    <w:pPr>
      <w:spacing w:after="160" w:line="259" w:lineRule="auto"/>
    </w:pPr>
  </w:style>
  <w:style w:type="paragraph" w:styleId="aff">
    <w:name w:val="table of figures"/>
    <w:basedOn w:val="a"/>
    <w:next w:val="a"/>
    <w:uiPriority w:val="99"/>
    <w:unhideWhenUsed/>
    <w:qFormat/>
  </w:style>
  <w:style w:type="paragraph" w:styleId="aff0">
    <w:name w:val="No Spacing"/>
    <w:uiPriority w:val="1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4">
    <w:name w:val="Основной текст (2)"/>
    <w:basedOn w:val="a"/>
    <w:link w:val="23"/>
    <w:qFormat/>
    <w:pPr>
      <w:widowControl w:val="0"/>
      <w:shd w:val="clear" w:color="auto" w:fill="FFFFFF"/>
      <w:spacing w:line="240" w:lineRule="atLeast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styleId="af5">
    <w:name w:val="Balloon Text"/>
    <w:basedOn w:val="a"/>
    <w:link w:val="af4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customStyle="1" w:styleId="HeaderandFooter">
    <w:name w:val="Header and Footer"/>
    <w:basedOn w:val="a"/>
    <w:qFormat/>
  </w:style>
  <w:style w:type="paragraph" w:styleId="af7">
    <w:name w:val="head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paragraph" w:styleId="af9">
    <w:name w:val="footer"/>
    <w:basedOn w:val="a"/>
    <w:link w:val="af8"/>
    <w:uiPriority w:val="99"/>
    <w:unhideWhenUsed/>
    <w:pPr>
      <w:tabs>
        <w:tab w:val="center" w:pos="4677"/>
        <w:tab w:val="right" w:pos="9355"/>
      </w:tabs>
    </w:p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Ind w:w="0" w:type="nil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nil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nil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FFFFFF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3F3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FFFFFF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FFFFFF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1"/>
      </w:tcPr>
    </w:tblStylePr>
    <w:tblStylePr w:type="firstCol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Col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band1Vert">
      <w:tblPr/>
      <w:tcPr>
        <w:shd w:val="clear" w:color="FFFFFF" w:fill="A9BEE4" w:themeFill="accent1" w:themeFillTint="75"/>
      </w:tcPr>
    </w:tblStylePr>
    <w:tblStylePr w:type="band1Horz">
      <w:tblPr/>
      <w:tcPr>
        <w:shd w:val="clear" w:color="FFFFFF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5"/>
      </w:tcPr>
    </w:tblStylePr>
    <w:tblStylePr w:type="firstCol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Col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band1Vert">
      <w:tblPr/>
      <w:tcPr>
        <w:shd w:val="clear" w:color="FFFFFF" w:fill="B3D0EB" w:themeFill="accent5" w:themeFillTint="75"/>
      </w:tcPr>
    </w:tblStylePr>
    <w:tblStylePr w:type="band1Horz">
      <w:tblPr/>
      <w:tcPr>
        <w:shd w:val="clear" w:color="FFFFFF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left w:w="0" w:type="dxa"/>
        <w:right w:w="0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left w:w="0" w:type="dxa"/>
        <w:right w:w="0" w:type="dxa"/>
      </w:tblCellMar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left w:w="0" w:type="dxa"/>
        <w:right w:w="0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nil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tblPr/>
      <w:tcPr>
        <w:shd w:val="clear" w:color="FFFFFF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tblPr/>
      <w:tcPr>
        <w:shd w:val="clear" w:color="FFFFFF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left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FFFFFF" w:fill="4472C4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FFFFFF" w:fill="9BC2E5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nil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4472C4" w:themeColor="accent1"/>
        <w:bottom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F4B184" w:themeColor="accent2" w:themeTint="97"/>
      </w:tblBorders>
      <w:tblCellMar>
        <w:left w:w="0" w:type="dxa"/>
        <w:right w:w="0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C9C9C9" w:themeColor="accent3" w:themeTint="98"/>
      </w:tblBorders>
      <w:tblCellMar>
        <w:left w:w="0" w:type="dxa"/>
        <w:right w:w="0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FFD865" w:themeColor="accent4" w:themeTint="9A"/>
      </w:tblBorders>
      <w:tblCellMar>
        <w:left w:w="0" w:type="dxa"/>
        <w:right w:w="0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9BC2E5" w:themeColor="accent5" w:themeTint="9A"/>
      </w:tblBorders>
      <w:tblCellMar>
        <w:left w:w="0" w:type="dxa"/>
        <w:right w:w="0" w:type="dxa"/>
      </w:tblCellMar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5B9BD5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nil"/>
      <w:tblBorders>
        <w:right w:val="single" w:sz="4" w:space="0" w:color="A9D08E" w:themeColor="accent6" w:themeTint="98"/>
      </w:tblBorders>
      <w:tblCellMar>
        <w:left w:w="0" w:type="dxa"/>
        <w:right w:w="0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left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nil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nil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nil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nil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left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aff1">
    <w:name w:val="Table Grid"/>
    <w:basedOn w:val="a1"/>
    <w:uiPriority w:val="39"/>
    <w:rPr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1708</Words>
  <Characters>9736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ПК-3</cp:lastModifiedBy>
  <cp:revision>2</cp:revision>
  <dcterms:created xsi:type="dcterms:W3CDTF">2025-09-01T10:22:00Z</dcterms:created>
  <dcterms:modified xsi:type="dcterms:W3CDTF">2025-09-01T10:22:00Z</dcterms:modified>
  <dc:language>ru-RU</dc:language>
</cp:coreProperties>
</file>